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93B4" w14:textId="77777777" w:rsidR="001416B7" w:rsidRDefault="00DD3B51">
      <w:pPr>
        <w:jc w:val="center"/>
        <w:rPr>
          <w:b/>
          <w:bCs/>
          <w:sz w:val="28"/>
          <w:szCs w:val="28"/>
        </w:rPr>
      </w:pPr>
      <w:r>
        <w:rPr>
          <w:b/>
          <w:bCs/>
          <w:sz w:val="28"/>
          <w:szCs w:val="28"/>
        </w:rPr>
        <w:t xml:space="preserve">Cahier des charges de la sous action « Atelier-mémoire » </w:t>
      </w:r>
    </w:p>
    <w:p w14:paraId="3CBB53B5" w14:textId="77777777" w:rsidR="001416B7" w:rsidRDefault="001416B7">
      <w:pPr>
        <w:jc w:val="center"/>
        <w:rPr>
          <w:b/>
          <w:bCs/>
        </w:rPr>
      </w:pPr>
    </w:p>
    <w:tbl>
      <w:tblPr>
        <w:tblStyle w:val="Grilledutableau"/>
        <w:tblW w:w="9776" w:type="dxa"/>
        <w:tblLook w:val="04A0" w:firstRow="1" w:lastRow="0" w:firstColumn="1" w:lastColumn="0" w:noHBand="0" w:noVBand="1"/>
      </w:tblPr>
      <w:tblGrid>
        <w:gridCol w:w="1696"/>
        <w:gridCol w:w="8080"/>
      </w:tblGrid>
      <w:tr w:rsidR="001416B7" w14:paraId="441D7F32" w14:textId="77777777">
        <w:tc>
          <w:tcPr>
            <w:tcW w:w="1696" w:type="dxa"/>
          </w:tcPr>
          <w:p w14:paraId="79870F22" w14:textId="77777777" w:rsidR="001416B7" w:rsidRDefault="00DD3B51">
            <w:pPr>
              <w:rPr>
                <w:b/>
                <w:bCs/>
              </w:rPr>
            </w:pPr>
            <w:r>
              <w:rPr>
                <w:b/>
                <w:bCs/>
              </w:rPr>
              <w:t>Sous action</w:t>
            </w:r>
          </w:p>
        </w:tc>
        <w:tc>
          <w:tcPr>
            <w:tcW w:w="8080" w:type="dxa"/>
          </w:tcPr>
          <w:p w14:paraId="4D5C7706" w14:textId="77777777" w:rsidR="001416B7" w:rsidRDefault="00DD3B51">
            <w:pPr>
              <w:jc w:val="center"/>
              <w:rPr>
                <w:b/>
                <w:bCs/>
              </w:rPr>
            </w:pPr>
            <w:r>
              <w:rPr>
                <w:b/>
                <w:bCs/>
              </w:rPr>
              <w:t>Atelier mémoire</w:t>
            </w:r>
          </w:p>
          <w:p w14:paraId="6F4EFBC4" w14:textId="77777777" w:rsidR="001416B7" w:rsidRDefault="001416B7">
            <w:pPr>
              <w:jc w:val="center"/>
              <w:rPr>
                <w:b/>
                <w:bCs/>
              </w:rPr>
            </w:pPr>
          </w:p>
        </w:tc>
      </w:tr>
      <w:tr w:rsidR="001416B7" w14:paraId="52B9E945" w14:textId="77777777">
        <w:tc>
          <w:tcPr>
            <w:tcW w:w="1696" w:type="dxa"/>
          </w:tcPr>
          <w:p w14:paraId="3AA577B5" w14:textId="77777777" w:rsidR="001416B7" w:rsidRDefault="00DD3B51">
            <w:pPr>
              <w:rPr>
                <w:b/>
                <w:bCs/>
              </w:rPr>
            </w:pPr>
            <w:r>
              <w:rPr>
                <w:b/>
                <w:bCs/>
              </w:rPr>
              <w:t xml:space="preserve">Descriptif </w:t>
            </w:r>
          </w:p>
        </w:tc>
        <w:tc>
          <w:tcPr>
            <w:tcW w:w="8080" w:type="dxa"/>
          </w:tcPr>
          <w:p w14:paraId="78EE2CB9" w14:textId="77777777" w:rsidR="001416B7" w:rsidRDefault="00DD3B51">
            <w:pPr>
              <w:jc w:val="both"/>
            </w:pPr>
            <w:r>
              <w:t>Le pôle Pégase a pour ambition de transformer les pratiques enseignantes de la maternelle au lycée pour renforcer l’apprentissage des savoirs fondamentaux (langage et mathématiques, respect d’autrui) et contribuer ainsi à réduire les inégalités sociales, territoriales et cognitives. Le Pôle va permettre la mise en place d’un écosystème associant étroitement les laboratoires de l’UGA et de l’USMB, les INSPE et Rectorats de Grenoble et de Guyane, et l’ensemble de la communauté enseignante. Cet écosystème sera collaboratif, distribué, ouvert et apprenant, et travaillera à placer l’approche evidence-based au cœur de la formation initiale et continue des enseignants, pour favoriser leur développement professionnel en s’appuyant sur des données issues de la recherche.</w:t>
            </w:r>
          </w:p>
          <w:p w14:paraId="6436AA78" w14:textId="77777777" w:rsidR="001416B7" w:rsidRDefault="001416B7">
            <w:pPr>
              <w:jc w:val="both"/>
            </w:pPr>
          </w:p>
          <w:p w14:paraId="2036A1C6" w14:textId="77777777" w:rsidR="00554AE1" w:rsidRDefault="00554AE1">
            <w:pPr>
              <w:jc w:val="both"/>
            </w:pPr>
            <w:r>
              <w:t>Le pôle Pégase est matérialisé sur le territoire académique par la présence de plusieurs EducLabs. Chaque EducLab est constitué d’une salle dédiée et équipée, au sein d’une structure scolaire 1er ou 2nd degré. Les EducLabs sont mis en place dans chaque bassin scolaire de l’académie pour servir de lieux de rencontre et de collaboration entre enseignants, formateurs et chercheurs, et de points de relais en proximité pour les actions du Pôle. Leurs activités rayonnent sur la circonscription 1</w:t>
            </w:r>
            <w:r>
              <w:rPr>
                <w:vertAlign w:val="superscript"/>
              </w:rPr>
              <w:t>er</w:t>
            </w:r>
            <w:r>
              <w:t xml:space="preserve"> degré de l’établissement et concernent tous les établissements (1</w:t>
            </w:r>
            <w:r>
              <w:rPr>
                <w:vertAlign w:val="superscript"/>
              </w:rPr>
              <w:t>er</w:t>
            </w:r>
            <w:r>
              <w:t xml:space="preserve"> et 2</w:t>
            </w:r>
            <w:r>
              <w:rPr>
                <w:vertAlign w:val="superscript"/>
              </w:rPr>
              <w:t>nd</w:t>
            </w:r>
            <w:r>
              <w:t xml:space="preserve"> degrés) de celle-ci.</w:t>
            </w:r>
          </w:p>
          <w:p w14:paraId="6AE8FD26" w14:textId="77777777" w:rsidR="001416B7" w:rsidRDefault="00DD3B51">
            <w:pPr>
              <w:jc w:val="both"/>
            </w:pPr>
            <w:r>
              <w:t>L’action 1 du Pôle Pégase vise à transformer la formation initiale de nos INSPE pour en renforcer les liens avec la recherche et y accentuer l’accompagnement des enseignants en début de carrière. Cette transformation progressive sera mise en œuvre de façon collaborative par des chercheurs et des formateurs. L’un des 3 volets de cette action concerne l’encadrement des mémoires.</w:t>
            </w:r>
          </w:p>
          <w:p w14:paraId="07447AF1" w14:textId="77777777" w:rsidR="001416B7" w:rsidRDefault="001416B7">
            <w:pPr>
              <w:jc w:val="both"/>
            </w:pPr>
          </w:p>
          <w:p w14:paraId="692D24D3" w14:textId="77777777" w:rsidR="001416B7" w:rsidRDefault="00DD3B51">
            <w:pPr>
              <w:jc w:val="both"/>
            </w:pPr>
            <w:r>
              <w:t>L’atelier-mémoire est un dispositif de co-encadrement s’appliquant à des groupes de 4 à 6 étudiants travaillant sur un même thème et sur un même territoire apprenant (et donc</w:t>
            </w:r>
            <w:r w:rsidR="00196C4C" w:rsidRPr="00B34D4F">
              <w:rPr>
                <w:color w:val="000000" w:themeColor="text1"/>
              </w:rPr>
              <w:t>, si possible,</w:t>
            </w:r>
            <w:r w:rsidRPr="00B34D4F">
              <w:rPr>
                <w:color w:val="000000" w:themeColor="text1"/>
              </w:rPr>
              <w:t xml:space="preserve"> </w:t>
            </w:r>
            <w:r>
              <w:t>en lien avec un même EducLab). Ces mémoires individuels seront encadrés par une équipe réunissant un formateur INSPE (non chercheur), un enseignant ou CPE et un enseignant-chercheur / chercheur (INSPE ou non).</w:t>
            </w:r>
          </w:p>
          <w:p w14:paraId="03EA921D" w14:textId="77777777" w:rsidR="001416B7" w:rsidRDefault="00DD3B51">
            <w:pPr>
              <w:jc w:val="both"/>
            </w:pPr>
            <w:r>
              <w:t>Leurs thèmes seront co-construits par les étudiants et leur équipe encadrante</w:t>
            </w:r>
            <w:r w:rsidR="00B34D4F">
              <w:t xml:space="preserve">. </w:t>
            </w:r>
            <w:r>
              <w:t>Le suivi des mémoires s’effectuera</w:t>
            </w:r>
            <w:r w:rsidR="00196C4C" w:rsidRPr="00B34D4F">
              <w:rPr>
                <w:color w:val="000000" w:themeColor="text1"/>
              </w:rPr>
              <w:t>, dans la mesure du possible</w:t>
            </w:r>
            <w:r w:rsidR="00196C4C" w:rsidRPr="00B34D4F">
              <w:rPr>
                <w:b/>
                <w:color w:val="000000" w:themeColor="text1"/>
              </w:rPr>
              <w:t>,</w:t>
            </w:r>
            <w:r w:rsidRPr="00B34D4F">
              <w:rPr>
                <w:color w:val="000000" w:themeColor="text1"/>
              </w:rPr>
              <w:t xml:space="preserve"> </w:t>
            </w:r>
            <w:r>
              <w:t xml:space="preserve">pour partie à l’INSPE et pour partie dans l’EducLab afin de renforcer l’ancrage sur le terrain et faciliter la présence du tuteur enseignant. Le déploiement progressif de ces mémoires sur chaque EducLab permettra de tester ce dispositif innovant (mais consommateur en termes de ressources humaines) et définir son déploiement à une plus large échelle. </w:t>
            </w:r>
          </w:p>
          <w:p w14:paraId="58F425BF" w14:textId="77777777" w:rsidR="001416B7" w:rsidRDefault="001416B7">
            <w:pPr>
              <w:jc w:val="both"/>
            </w:pPr>
          </w:p>
          <w:p w14:paraId="2958E79B" w14:textId="77777777" w:rsidR="001416B7" w:rsidRDefault="001416B7">
            <w:pPr>
              <w:jc w:val="both"/>
            </w:pPr>
          </w:p>
        </w:tc>
      </w:tr>
      <w:tr w:rsidR="001416B7" w14:paraId="45190223" w14:textId="77777777">
        <w:tc>
          <w:tcPr>
            <w:tcW w:w="1696" w:type="dxa"/>
          </w:tcPr>
          <w:p w14:paraId="4136CC3D" w14:textId="77777777" w:rsidR="001416B7" w:rsidRDefault="00DD3B51">
            <w:pPr>
              <w:rPr>
                <w:b/>
                <w:bCs/>
              </w:rPr>
            </w:pPr>
            <w:r>
              <w:rPr>
                <w:b/>
                <w:bCs/>
              </w:rPr>
              <w:lastRenderedPageBreak/>
              <w:t>Modalités</w:t>
            </w:r>
          </w:p>
        </w:tc>
        <w:tc>
          <w:tcPr>
            <w:tcW w:w="8080" w:type="dxa"/>
          </w:tcPr>
          <w:p w14:paraId="6E4627A2" w14:textId="77777777" w:rsidR="001416B7" w:rsidRDefault="00DD3B51">
            <w:pPr>
              <w:jc w:val="both"/>
            </w:pPr>
            <w:r>
              <w:t xml:space="preserve">Le thème de l’atelier présenté par l’équipe encadrante sera affiné et précisé avec les étudiants en lien avec leur lieu de stage. </w:t>
            </w:r>
          </w:p>
          <w:p w14:paraId="146B6C23" w14:textId="77777777" w:rsidR="001416B7" w:rsidRDefault="00DD3B51">
            <w:pPr>
              <w:jc w:val="both"/>
            </w:pPr>
            <w:r>
              <w:t xml:space="preserve">Les différentes étapes du travail du mémoire se font en commun. Ainsi, le travail en atelier doit permettre de co-construire une problématique </w:t>
            </w:r>
            <w:r>
              <w:rPr>
                <w:i/>
                <w:iCs/>
              </w:rPr>
              <w:t>commune</w:t>
            </w:r>
            <w:r>
              <w:t xml:space="preserve"> à partir d’un état de l’art initié par l’équipe encadrante et enrichi par les étudiants. Celle-ci peut se décliner en une ou plusieurs questions / hypothèses complémentaires. </w:t>
            </w:r>
          </w:p>
          <w:p w14:paraId="78203EF9" w14:textId="77777777" w:rsidR="001416B7" w:rsidRDefault="00DD3B51">
            <w:pPr>
              <w:jc w:val="both"/>
            </w:pPr>
            <w:r>
              <w:t xml:space="preserve">La méthodologie co-construite, conduira à des expérimentations dans les classes des étudiants et à un recueil de données mutualisé à l’ensemble des étudiants de l’atelier. </w:t>
            </w:r>
          </w:p>
          <w:p w14:paraId="081CC282" w14:textId="77777777" w:rsidR="001416B7" w:rsidRDefault="00DD3B51">
            <w:pPr>
              <w:jc w:val="both"/>
            </w:pPr>
            <w:r>
              <w:t>Les mémoires sont évalués selon les mêmes critères des mémoires du master MEEF de l’INSPE.</w:t>
            </w:r>
          </w:p>
          <w:p w14:paraId="525EA601" w14:textId="77777777" w:rsidR="001416B7" w:rsidRDefault="00DD3B51">
            <w:pPr>
              <w:jc w:val="both"/>
            </w:pPr>
            <w:r>
              <w:t xml:space="preserve">Le mémoire se déroule sur les semestres S2 et S3 du master. </w:t>
            </w:r>
          </w:p>
          <w:p w14:paraId="141357B9" w14:textId="77777777" w:rsidR="001416B7" w:rsidRDefault="001416B7">
            <w:pPr>
              <w:jc w:val="both"/>
            </w:pPr>
          </w:p>
        </w:tc>
      </w:tr>
      <w:tr w:rsidR="001416B7" w14:paraId="70F5AAD1" w14:textId="77777777">
        <w:tc>
          <w:tcPr>
            <w:tcW w:w="1696" w:type="dxa"/>
          </w:tcPr>
          <w:p w14:paraId="6B73DFD0" w14:textId="77777777" w:rsidR="001416B7" w:rsidRDefault="00DD3B51">
            <w:pPr>
              <w:rPr>
                <w:b/>
                <w:bCs/>
              </w:rPr>
            </w:pPr>
            <w:r>
              <w:rPr>
                <w:b/>
                <w:bCs/>
              </w:rPr>
              <w:t xml:space="preserve">Attendus </w:t>
            </w:r>
          </w:p>
        </w:tc>
        <w:tc>
          <w:tcPr>
            <w:tcW w:w="8080" w:type="dxa"/>
          </w:tcPr>
          <w:p w14:paraId="575E2C5E" w14:textId="77777777" w:rsidR="001416B7" w:rsidRDefault="00DD3B51">
            <w:pPr>
              <w:jc w:val="both"/>
            </w:pPr>
            <w:r>
              <w:t>L’atelier mémoire permettra aux étudiants de développer une réflexivité sur leur pratique, de préciser une problématique et de l’interroger dans le cadre d’une démarche expérimentale (</w:t>
            </w:r>
            <w:r>
              <w:rPr>
                <w:i/>
              </w:rPr>
              <w:t>practice-based research</w:t>
            </w:r>
            <w:r>
              <w:t>). Des données probantes seront produites et permettront par la suite de nourrir et / ou d’améliorer les pratiques à venir (</w:t>
            </w:r>
            <w:r>
              <w:rPr>
                <w:i/>
              </w:rPr>
              <w:t>evidence-based education</w:t>
            </w:r>
            <w:r>
              <w:t>)</w:t>
            </w:r>
          </w:p>
          <w:p w14:paraId="52D8EB16" w14:textId="77777777" w:rsidR="001416B7" w:rsidRPr="000F3D05" w:rsidRDefault="00DD3B51">
            <w:pPr>
              <w:jc w:val="both"/>
              <w:rPr>
                <w:color w:val="000000" w:themeColor="text1"/>
              </w:rPr>
            </w:pPr>
            <w:r>
              <w:t xml:space="preserve">On encouragera la valorisation du travail des mémoires de l’atelier par une publication </w:t>
            </w:r>
            <w:r w:rsidRPr="000F3D05">
              <w:rPr>
                <w:color w:val="000000" w:themeColor="text1"/>
              </w:rPr>
              <w:t>dans une revue de vulgarisation.</w:t>
            </w:r>
          </w:p>
          <w:p w14:paraId="66BF9C22" w14:textId="77777777" w:rsidR="00FB2B26" w:rsidRPr="000F3D05" w:rsidRDefault="00FB2B26">
            <w:pPr>
              <w:jc w:val="both"/>
              <w:rPr>
                <w:color w:val="000000" w:themeColor="text1"/>
              </w:rPr>
            </w:pPr>
          </w:p>
          <w:p w14:paraId="5FD5A8D4" w14:textId="77777777" w:rsidR="00FB2B26" w:rsidRPr="000F3D05" w:rsidRDefault="00FB2B26" w:rsidP="00FB2B26">
            <w:pPr>
              <w:shd w:val="clear" w:color="auto" w:fill="FFFFFF"/>
              <w:rPr>
                <w:rFonts w:cstheme="minorHAnsi"/>
                <w:color w:val="000000" w:themeColor="text1"/>
                <w:shd w:val="clear" w:color="auto" w:fill="FFFFFF"/>
              </w:rPr>
            </w:pPr>
            <w:r w:rsidRPr="000F3D05">
              <w:rPr>
                <w:rFonts w:cstheme="minorHAnsi"/>
                <w:color w:val="000000" w:themeColor="text1"/>
                <w:shd w:val="clear" w:color="auto" w:fill="FFFFFF"/>
              </w:rPr>
              <w:t>Retour bilan : en fin de projet. Il s'agit de nous faire un retour sur la mise en œuvre de l'atelier (le modèle de fiche à renseigner sera fourni)</w:t>
            </w:r>
            <w:r w:rsidR="004D305B" w:rsidRPr="000F3D05">
              <w:rPr>
                <w:rFonts w:cstheme="minorHAnsi"/>
                <w:color w:val="000000" w:themeColor="text1"/>
                <w:shd w:val="clear" w:color="auto" w:fill="FFFFFF"/>
              </w:rPr>
              <w:t>.</w:t>
            </w:r>
          </w:p>
          <w:p w14:paraId="22BABD1C" w14:textId="77777777" w:rsidR="00FB2B26" w:rsidRDefault="00FB2B26">
            <w:pPr>
              <w:jc w:val="both"/>
            </w:pPr>
          </w:p>
        </w:tc>
      </w:tr>
    </w:tbl>
    <w:p w14:paraId="1BA7175A" w14:textId="77777777" w:rsidR="001416B7" w:rsidRDefault="001416B7"/>
    <w:p w14:paraId="7437A23F" w14:textId="77777777" w:rsidR="00887C3B" w:rsidRPr="000F3D05" w:rsidRDefault="00887C3B" w:rsidP="00887C3B">
      <w:pPr>
        <w:pBdr>
          <w:bottom w:val="single" w:sz="6" w:space="29" w:color="auto"/>
        </w:pBdr>
        <w:tabs>
          <w:tab w:val="left" w:pos="1609"/>
        </w:tabs>
        <w:rPr>
          <w:rFonts w:ascii="Arial" w:hAnsi="Arial" w:cs="Arial"/>
          <w:b/>
        </w:rPr>
      </w:pPr>
      <w:r w:rsidRPr="000F3D05">
        <w:rPr>
          <w:rFonts w:ascii="Arial" w:hAnsi="Arial" w:cs="Arial"/>
          <w:b/>
        </w:rPr>
        <w:t xml:space="preserve">Possibilités d’aide </w:t>
      </w:r>
    </w:p>
    <w:p w14:paraId="155840D4" w14:textId="77777777" w:rsidR="00887C3B" w:rsidRDefault="00887C3B" w:rsidP="00887C3B">
      <w:pPr>
        <w:pBdr>
          <w:bottom w:val="single" w:sz="6" w:space="29" w:color="auto"/>
        </w:pBdr>
        <w:tabs>
          <w:tab w:val="left" w:pos="1609"/>
        </w:tabs>
        <w:rPr>
          <w:rFonts w:ascii="Arial" w:hAnsi="Arial" w:cs="Arial"/>
        </w:rPr>
      </w:pPr>
      <w:r>
        <w:rPr>
          <w:rFonts w:ascii="Arial" w:hAnsi="Arial" w:cs="Arial"/>
        </w:rPr>
        <w:t xml:space="preserve">Nombre d’heure attribuées : </w:t>
      </w:r>
      <w:r w:rsidRPr="00B34D4F">
        <w:rPr>
          <w:rFonts w:ascii="Arial" w:hAnsi="Arial" w:cs="Arial"/>
          <w:b/>
        </w:rPr>
        <w:t>9HTD par étudiant</w:t>
      </w:r>
      <w:r>
        <w:rPr>
          <w:rFonts w:ascii="Arial" w:hAnsi="Arial" w:cs="Arial"/>
        </w:rPr>
        <w:t xml:space="preserve"> (soit 3h par étudiant pour chaque encadrant du trinôme)</w:t>
      </w:r>
    </w:p>
    <w:p w14:paraId="75BBB4E4" w14:textId="77777777" w:rsidR="000B7439" w:rsidRDefault="009C2BAC" w:rsidP="000F3D05">
      <w:pPr>
        <w:rPr>
          <w:rFonts w:ascii="Arial" w:hAnsi="Arial" w:cs="Arial"/>
          <w:b/>
          <w:bCs/>
        </w:rPr>
      </w:pPr>
      <w:r>
        <w:rPr>
          <w:rFonts w:ascii="Arial" w:hAnsi="Arial" w:cs="Arial"/>
          <w:b/>
          <w:bCs/>
        </w:rPr>
        <w:br w:type="page"/>
      </w:r>
    </w:p>
    <w:p w14:paraId="3D1791A7" w14:textId="77777777" w:rsidR="001416B7" w:rsidRDefault="00DD3B51">
      <w:pPr>
        <w:pBdr>
          <w:bottom w:val="single" w:sz="6" w:space="29" w:color="auto"/>
        </w:pBdr>
        <w:tabs>
          <w:tab w:val="left" w:pos="1609"/>
        </w:tabs>
        <w:jc w:val="center"/>
        <w:rPr>
          <w:rFonts w:ascii="Arial" w:hAnsi="Arial" w:cs="Arial"/>
          <w:b/>
          <w:bCs/>
          <w:sz w:val="28"/>
          <w:szCs w:val="28"/>
        </w:rPr>
      </w:pPr>
      <w:r>
        <w:rPr>
          <w:rFonts w:ascii="Arial" w:hAnsi="Arial" w:cs="Arial"/>
          <w:b/>
          <w:bCs/>
          <w:sz w:val="28"/>
          <w:szCs w:val="28"/>
        </w:rPr>
        <w:lastRenderedPageBreak/>
        <w:t>Fiche de candidature</w:t>
      </w:r>
    </w:p>
    <w:p w14:paraId="4C3B9333" w14:textId="77777777" w:rsidR="001416B7" w:rsidRDefault="001416B7">
      <w:pPr>
        <w:pBdr>
          <w:bottom w:val="single" w:sz="6" w:space="29" w:color="auto"/>
        </w:pBdr>
        <w:tabs>
          <w:tab w:val="left" w:pos="1609"/>
        </w:tabs>
        <w:rPr>
          <w:rFonts w:ascii="Arial" w:hAnsi="Arial" w:cs="Arial"/>
        </w:rPr>
      </w:pPr>
    </w:p>
    <w:p w14:paraId="248AFC12" w14:textId="77777777" w:rsidR="001416B7" w:rsidRDefault="001416B7">
      <w:pPr>
        <w:pBdr>
          <w:bottom w:val="single" w:sz="6" w:space="29" w:color="auto"/>
        </w:pBdr>
        <w:tabs>
          <w:tab w:val="left" w:pos="1609"/>
        </w:tabs>
        <w:rPr>
          <w:rFonts w:ascii="Arial" w:hAnsi="Arial" w:cs="Arial"/>
          <w:sz w:val="24"/>
          <w:szCs w:val="24"/>
        </w:rPr>
      </w:pPr>
    </w:p>
    <w:p w14:paraId="02F511A3"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Encadrant enseignant-chercheur :</w:t>
      </w:r>
    </w:p>
    <w:p w14:paraId="0EB25E8E"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ab/>
        <w:t xml:space="preserve">Nom :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Prénom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BE213E0"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ab/>
        <w:t>Fonction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Établissement : </w:t>
      </w:r>
    </w:p>
    <w:p w14:paraId="5B21623F" w14:textId="77777777" w:rsidR="001416B7" w:rsidRDefault="001416B7">
      <w:pPr>
        <w:pBdr>
          <w:bottom w:val="single" w:sz="6" w:space="29" w:color="auto"/>
        </w:pBdr>
        <w:tabs>
          <w:tab w:val="left" w:pos="1609"/>
        </w:tabs>
        <w:rPr>
          <w:rFonts w:ascii="Arial" w:hAnsi="Arial" w:cs="Arial"/>
          <w:sz w:val="24"/>
          <w:szCs w:val="24"/>
        </w:rPr>
      </w:pPr>
    </w:p>
    <w:p w14:paraId="2AC2FE0E"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Encadrant formateur INSPE :</w:t>
      </w:r>
    </w:p>
    <w:p w14:paraId="15991988"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ab/>
        <w:t xml:space="preserve">Nom :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Prénom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D7543F5"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ab/>
        <w:t>Fonction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Établissement : </w:t>
      </w:r>
    </w:p>
    <w:p w14:paraId="06BCE7C6" w14:textId="77777777" w:rsidR="001416B7" w:rsidRDefault="001416B7">
      <w:pPr>
        <w:pBdr>
          <w:bottom w:val="single" w:sz="6" w:space="29" w:color="auto"/>
        </w:pBdr>
        <w:tabs>
          <w:tab w:val="left" w:pos="1609"/>
        </w:tabs>
        <w:rPr>
          <w:rFonts w:ascii="Arial" w:hAnsi="Arial" w:cs="Arial"/>
          <w:sz w:val="24"/>
          <w:szCs w:val="24"/>
        </w:rPr>
      </w:pPr>
    </w:p>
    <w:p w14:paraId="18143B46"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Encadrant enseignant école, collège, lycée :</w:t>
      </w:r>
    </w:p>
    <w:p w14:paraId="5B32A393"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ab/>
        <w:t xml:space="preserve">Nom :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Prénom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BA329E" w14:textId="77777777"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ab/>
        <w:t>Fonction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Établissement : </w:t>
      </w:r>
    </w:p>
    <w:p w14:paraId="4234A6AC" w14:textId="77777777" w:rsidR="001416B7" w:rsidRDefault="001416B7">
      <w:pPr>
        <w:pBdr>
          <w:bottom w:val="single" w:sz="6" w:space="29" w:color="auto"/>
        </w:pBdr>
        <w:tabs>
          <w:tab w:val="left" w:pos="1609"/>
        </w:tabs>
        <w:rPr>
          <w:rFonts w:ascii="Arial" w:hAnsi="Arial" w:cs="Arial"/>
          <w:sz w:val="24"/>
          <w:szCs w:val="24"/>
        </w:rPr>
      </w:pPr>
    </w:p>
    <w:p w14:paraId="78EAF510" w14:textId="77777777" w:rsidR="001416B7" w:rsidRDefault="001416B7">
      <w:pPr>
        <w:pBdr>
          <w:bottom w:val="single" w:sz="6" w:space="29" w:color="auto"/>
        </w:pBdr>
        <w:tabs>
          <w:tab w:val="left" w:pos="1609"/>
        </w:tabs>
        <w:rPr>
          <w:rFonts w:ascii="Arial" w:hAnsi="Arial" w:cs="Arial"/>
          <w:sz w:val="24"/>
          <w:szCs w:val="24"/>
        </w:rPr>
      </w:pPr>
    </w:p>
    <w:p w14:paraId="68C86C2F" w14:textId="3F79D81C"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Nom d’Educlab</w:t>
      </w:r>
      <w:r w:rsidR="00C52C84">
        <w:rPr>
          <w:rFonts w:ascii="Arial" w:hAnsi="Arial" w:cs="Arial"/>
          <w:sz w:val="24"/>
          <w:szCs w:val="24"/>
        </w:rPr>
        <w:t xml:space="preserve"> </w:t>
      </w:r>
      <w:r w:rsidR="00C52C84" w:rsidRPr="00062A52">
        <w:rPr>
          <w:rFonts w:ascii="Arial" w:hAnsi="Arial" w:cs="Arial"/>
          <w:color w:val="000000" w:themeColor="text1"/>
          <w:sz w:val="24"/>
          <w:szCs w:val="24"/>
        </w:rPr>
        <w:t>envisagé</w:t>
      </w:r>
      <w:r w:rsidR="002C2F56">
        <w:rPr>
          <w:rFonts w:ascii="Arial" w:hAnsi="Arial" w:cs="Arial"/>
          <w:color w:val="000000" w:themeColor="text1"/>
          <w:sz w:val="24"/>
          <w:szCs w:val="24"/>
        </w:rPr>
        <w:t xml:space="preserve"> (facultatif)</w:t>
      </w:r>
      <w:r w:rsidR="00C52C84" w:rsidRPr="00062A52">
        <w:rPr>
          <w:rFonts w:ascii="Arial" w:hAnsi="Arial" w:cs="Arial"/>
          <w:color w:val="000000" w:themeColor="text1"/>
          <w:sz w:val="24"/>
          <w:szCs w:val="24"/>
        </w:rPr>
        <w:t xml:space="preserve"> </w:t>
      </w:r>
      <w:r>
        <w:rPr>
          <w:rFonts w:ascii="Arial" w:hAnsi="Arial" w:cs="Arial"/>
          <w:sz w:val="24"/>
          <w:szCs w:val="24"/>
        </w:rPr>
        <w:t>:</w:t>
      </w:r>
    </w:p>
    <w:p w14:paraId="4D51D92F" w14:textId="307F4423" w:rsidR="001009A3" w:rsidRDefault="001009A3">
      <w:pPr>
        <w:pBdr>
          <w:bottom w:val="single" w:sz="6" w:space="29" w:color="auto"/>
        </w:pBdr>
        <w:tabs>
          <w:tab w:val="left" w:pos="1609"/>
        </w:tabs>
        <w:rPr>
          <w:rFonts w:ascii="Arial" w:hAnsi="Arial" w:cs="Arial"/>
          <w:sz w:val="24"/>
          <w:szCs w:val="24"/>
        </w:rPr>
      </w:pPr>
      <w:r>
        <w:rPr>
          <w:rFonts w:ascii="Arial" w:hAnsi="Arial" w:cs="Arial"/>
          <w:sz w:val="24"/>
          <w:szCs w:val="24"/>
        </w:rPr>
        <w:t>Nombre d’étudiant</w:t>
      </w:r>
      <w:r w:rsidR="0090407C">
        <w:rPr>
          <w:rFonts w:ascii="Arial" w:hAnsi="Arial" w:cs="Arial"/>
          <w:sz w:val="24"/>
          <w:szCs w:val="24"/>
        </w:rPr>
        <w:t xml:space="preserve">s </w:t>
      </w:r>
      <w:r>
        <w:rPr>
          <w:rFonts w:ascii="Arial" w:hAnsi="Arial" w:cs="Arial"/>
          <w:sz w:val="24"/>
          <w:szCs w:val="24"/>
        </w:rPr>
        <w:t>:</w:t>
      </w:r>
    </w:p>
    <w:p w14:paraId="6BEB2D33" w14:textId="7641633D" w:rsidR="001416B7" w:rsidRDefault="00DD3B51">
      <w:pPr>
        <w:pBdr>
          <w:bottom w:val="single" w:sz="6" w:space="29" w:color="auto"/>
        </w:pBdr>
        <w:tabs>
          <w:tab w:val="left" w:pos="1609"/>
        </w:tabs>
        <w:rPr>
          <w:rFonts w:ascii="Arial" w:hAnsi="Arial" w:cs="Arial"/>
          <w:sz w:val="24"/>
          <w:szCs w:val="24"/>
        </w:rPr>
      </w:pPr>
      <w:r>
        <w:rPr>
          <w:rFonts w:ascii="Arial" w:hAnsi="Arial" w:cs="Arial"/>
          <w:sz w:val="24"/>
          <w:szCs w:val="24"/>
        </w:rPr>
        <w:t xml:space="preserve">Descriptif du thème : </w:t>
      </w:r>
    </w:p>
    <w:p w14:paraId="45891FC9" w14:textId="77777777" w:rsidR="001009A3" w:rsidRDefault="001009A3">
      <w:pPr>
        <w:pBdr>
          <w:bottom w:val="single" w:sz="6" w:space="29" w:color="auto"/>
        </w:pBdr>
        <w:tabs>
          <w:tab w:val="left" w:pos="1609"/>
        </w:tabs>
        <w:rPr>
          <w:rFonts w:ascii="Arial" w:hAnsi="Arial" w:cs="Arial"/>
        </w:rPr>
      </w:pPr>
    </w:p>
    <w:p w14:paraId="3831ED79" w14:textId="77777777" w:rsidR="001416B7" w:rsidRDefault="001416B7">
      <w:pPr>
        <w:pBdr>
          <w:bottom w:val="single" w:sz="6" w:space="29" w:color="auto"/>
        </w:pBdr>
        <w:tabs>
          <w:tab w:val="left" w:pos="1609"/>
        </w:tabs>
        <w:rPr>
          <w:rFonts w:ascii="Arial" w:hAnsi="Arial" w:cs="Arial"/>
        </w:rPr>
      </w:pPr>
    </w:p>
    <w:p w14:paraId="6E6FFCD1" w14:textId="77777777" w:rsidR="001416B7" w:rsidRDefault="001416B7">
      <w:pPr>
        <w:pBdr>
          <w:bottom w:val="single" w:sz="6" w:space="29" w:color="auto"/>
        </w:pBdr>
        <w:tabs>
          <w:tab w:val="left" w:pos="1609"/>
        </w:tabs>
        <w:rPr>
          <w:rFonts w:ascii="Arial" w:hAnsi="Arial" w:cs="Arial"/>
        </w:rPr>
      </w:pPr>
    </w:p>
    <w:p w14:paraId="5942D12A" w14:textId="77777777" w:rsidR="001416B7" w:rsidRDefault="001416B7">
      <w:pPr>
        <w:pBdr>
          <w:bottom w:val="single" w:sz="6" w:space="29" w:color="auto"/>
        </w:pBdr>
        <w:tabs>
          <w:tab w:val="left" w:pos="1609"/>
        </w:tabs>
        <w:rPr>
          <w:rFonts w:ascii="Arial" w:hAnsi="Arial" w:cs="Arial"/>
        </w:rPr>
      </w:pPr>
    </w:p>
    <w:p w14:paraId="735F202E" w14:textId="77777777" w:rsidR="000336E3" w:rsidRDefault="000336E3">
      <w:pPr>
        <w:pBdr>
          <w:bottom w:val="single" w:sz="6" w:space="29" w:color="auto"/>
        </w:pBdr>
        <w:tabs>
          <w:tab w:val="left" w:pos="1609"/>
        </w:tabs>
        <w:rPr>
          <w:rFonts w:ascii="Arial" w:hAnsi="Arial" w:cs="Arial"/>
        </w:rPr>
      </w:pPr>
    </w:p>
    <w:sectPr w:rsidR="000336E3">
      <w:headerReference w:type="default" r:id="rId6"/>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D4F7" w14:textId="77777777" w:rsidR="00BE3A25" w:rsidRDefault="00BE3A25">
      <w:pPr>
        <w:spacing w:after="0" w:line="240" w:lineRule="auto"/>
      </w:pPr>
      <w:r>
        <w:separator/>
      </w:r>
    </w:p>
  </w:endnote>
  <w:endnote w:type="continuationSeparator" w:id="0">
    <w:p w14:paraId="6521E3D0" w14:textId="77777777" w:rsidR="00BE3A25" w:rsidRDefault="00BE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959230"/>
      <w:docPartObj>
        <w:docPartGallery w:val="Page Numbers (Bottom of Page)"/>
        <w:docPartUnique/>
      </w:docPartObj>
    </w:sdtPr>
    <w:sdtEndPr/>
    <w:sdtContent>
      <w:p w14:paraId="55D7ACF7" w14:textId="77777777" w:rsidR="001416B7" w:rsidRDefault="00DD3B5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136C73" w14:textId="77777777" w:rsidR="001416B7" w:rsidRDefault="001416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13786"/>
      <w:docPartObj>
        <w:docPartGallery w:val="Page Numbers (Bottom of Page)"/>
        <w:docPartUnique/>
      </w:docPartObj>
    </w:sdtPr>
    <w:sdtEndPr/>
    <w:sdtContent>
      <w:p w14:paraId="2764E6F5" w14:textId="77777777" w:rsidR="001416B7" w:rsidRDefault="00DD3B5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64FCFE8C" w14:textId="77777777" w:rsidR="001416B7" w:rsidRDefault="00DD3B51">
    <w:pPr>
      <w:pStyle w:val="Pieddepage"/>
      <w:ind w:right="360"/>
    </w:pPr>
    <w:r>
      <w:t xml:space="preserve">Contact : </w:t>
    </w:r>
    <w:hyperlink r:id="rId1" w:tooltip="mailto:herve.gaussier@univ-grenoble-alpes.fr" w:history="1">
      <w:r>
        <w:rPr>
          <w:rStyle w:val="Lienhypertexte"/>
        </w:rPr>
        <w:t>herve.gaussier@univ-grenoble-alpes.fr</w:t>
      </w:r>
    </w:hyperlink>
    <w:r>
      <w:t xml:space="preserve"> et cc </w:t>
    </w:r>
    <w:hyperlink r:id="rId2" w:tooltip="http://pegase-formation@univ-grenoble-alpes.fr" w:history="1">
      <w:r>
        <w:rPr>
          <w:rStyle w:val="Lienhypertexte"/>
        </w:rPr>
        <w:t>pegase-formation@univ-grenoble-alpes.fr</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8271" w14:textId="77777777" w:rsidR="00BE3A25" w:rsidRDefault="00BE3A25">
      <w:pPr>
        <w:spacing w:after="0" w:line="240" w:lineRule="auto"/>
      </w:pPr>
      <w:r>
        <w:separator/>
      </w:r>
    </w:p>
  </w:footnote>
  <w:footnote w:type="continuationSeparator" w:id="0">
    <w:p w14:paraId="5FD7C3F3" w14:textId="77777777" w:rsidR="00BE3A25" w:rsidRDefault="00BE3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45D9" w14:textId="77777777" w:rsidR="001416B7" w:rsidRDefault="00DD3B51">
    <w:pPr>
      <w:pStyle w:val="NormalWeb"/>
      <w:spacing w:before="0" w:beforeAutospacing="0" w:after="160" w:afterAutospacing="0"/>
      <w:rPr>
        <w:color w:val="000000"/>
      </w:rPr>
    </w:pPr>
    <w:r>
      <w:rPr>
        <w:rFonts w:asciiTheme="minorHAnsi" w:eastAsiaTheme="minorHAnsi" w:hAnsiTheme="minorHAnsi" w:cstheme="minorBidi"/>
        <w:noProof/>
        <w:sz w:val="22"/>
        <w:szCs w:val="22"/>
        <w:lang w:eastAsia="en-US"/>
      </w:rPr>
      <mc:AlternateContent>
        <mc:Choice Requires="wpg">
          <w:drawing>
            <wp:inline distT="0" distB="0" distL="0" distR="0" wp14:anchorId="0DC48E6E" wp14:editId="4898CD01">
              <wp:extent cx="2075180" cy="944245"/>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icPr>
                    <pic:blipFill>
                      <a:blip r:embed="rId1"/>
                      <a:stretch/>
                    </pic:blipFill>
                    <pic:spPr bwMode="auto">
                      <a:xfrm>
                        <a:off x="0" y="0"/>
                        <a:ext cx="2075180" cy="94424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3.4pt;height:74.3pt;mso-wrap-distance-left:0.0pt;mso-wrap-distance-top:0.0pt;mso-wrap-distance-right:0.0pt;mso-wrap-distance-bottom:0.0pt;" stroked="f">
              <v:path textboxrect="0,0,0,0"/>
              <v:imagedata r:id="rId2" o:titl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B7"/>
    <w:rsid w:val="000336E3"/>
    <w:rsid w:val="00062A52"/>
    <w:rsid w:val="000B7439"/>
    <w:rsid w:val="000F3D05"/>
    <w:rsid w:val="001009A3"/>
    <w:rsid w:val="001416B7"/>
    <w:rsid w:val="00155519"/>
    <w:rsid w:val="00196C4C"/>
    <w:rsid w:val="002C2F56"/>
    <w:rsid w:val="004D305B"/>
    <w:rsid w:val="00554AE1"/>
    <w:rsid w:val="00610B32"/>
    <w:rsid w:val="00887C3B"/>
    <w:rsid w:val="0090407C"/>
    <w:rsid w:val="009C2BAC"/>
    <w:rsid w:val="00B34D4F"/>
    <w:rsid w:val="00BE3A25"/>
    <w:rsid w:val="00C52C84"/>
    <w:rsid w:val="00DD3B51"/>
    <w:rsid w:val="00F272A5"/>
    <w:rsid w:val="00FB2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08C5"/>
  <w15:docId w15:val="{26FDC72A-B89E-C44F-89C9-B206C230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Lienhypertexte">
    <w:name w:val="Hyperlink"/>
    <w:basedOn w:val="Policepardfaut"/>
    <w:uiPriority w:val="99"/>
    <w:unhideWhenUsed/>
    <w:rPr>
      <w:color w:val="0563C1" w:themeColor="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style>
  <w:style w:type="character" w:styleId="Mentionnonrsolue">
    <w:name w:val="Unresolved Mention"/>
    <w:basedOn w:val="Policepardfaut"/>
    <w:uiPriority w:val="99"/>
    <w:semiHidden/>
    <w:unhideWhenUsed/>
    <w:rPr>
      <w:color w:val="605E5C"/>
      <w:shd w:val="clear" w:color="auto" w:fill="E1DFDD"/>
    </w:rPr>
  </w:style>
  <w:style w:type="table" w:styleId="Grilledutableau">
    <w:name w:val="Table Grid"/>
    <w:basedOn w:val="TableauNormal"/>
    <w:uiPriority w:val="39"/>
    <w:pPr>
      <w:spacing w:after="0" w:line="240" w:lineRule="auto"/>
    </w:pPr>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pegase-formation@univ-grenoble-alpes.fr" TargetMode="External"/><Relationship Id="rId1" Type="http://schemas.openxmlformats.org/officeDocument/2006/relationships/hyperlink" Target="mailto:herve.gaussier@univ-grenoble-alpe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722</Words>
  <Characters>3976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Tognarelli Frederique</dc:creator>
  <cp:keywords/>
  <dc:description/>
  <cp:lastModifiedBy>AURELIE BOYER</cp:lastModifiedBy>
  <cp:revision>19</cp:revision>
  <dcterms:created xsi:type="dcterms:W3CDTF">2021-11-09T07:57:00Z</dcterms:created>
  <dcterms:modified xsi:type="dcterms:W3CDTF">2023-11-07T14:56:00Z</dcterms:modified>
</cp:coreProperties>
</file>